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F5" w:rsidRDefault="00AE71F5" w:rsidP="00AE71F5">
      <w:pPr>
        <w:pStyle w:val="Titolo1"/>
      </w:pPr>
      <w:bookmarkStart w:id="0" w:name="_Toc443470513"/>
      <w:bookmarkStart w:id="1" w:name="_Toc443469841"/>
      <w:bookmarkStart w:id="2" w:name="_Toc443469697"/>
      <w:bookmarkStart w:id="3" w:name="_Toc443469566"/>
      <w:bookmarkStart w:id="4" w:name="_Toc443469354"/>
      <w:bookmarkStart w:id="5" w:name="_Toc443467452"/>
      <w:bookmarkStart w:id="6" w:name="_Toc443467358"/>
      <w:bookmarkStart w:id="7" w:name="_Toc441006457"/>
      <w:bookmarkStart w:id="8" w:name="_Toc441006182"/>
      <w:bookmarkStart w:id="9" w:name="_Toc441005508"/>
      <w:r>
        <w:t>4.2 Piano ASL Della Lucia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E71F5" w:rsidRDefault="00AE71F5" w:rsidP="00AE71F5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71F5" w:rsidRDefault="00314895" w:rsidP="00314895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2016-17</w:t>
      </w:r>
    </w:p>
    <w:p w:rsidR="00314895" w:rsidRDefault="00314895" w:rsidP="00314895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Titolo2"/>
      </w:pPr>
      <w:bookmarkStart w:id="10" w:name="_Toc443470514"/>
      <w:bookmarkStart w:id="11" w:name="_Toc443469842"/>
      <w:bookmarkStart w:id="12" w:name="_Toc443469698"/>
      <w:bookmarkStart w:id="13" w:name="_Toc443469567"/>
      <w:bookmarkStart w:id="14" w:name="_Toc443469355"/>
      <w:bookmarkStart w:id="15" w:name="_Toc443467453"/>
      <w:bookmarkStart w:id="16" w:name="_Toc443467359"/>
      <w:bookmarkStart w:id="17" w:name="_Toc441006458"/>
      <w:bookmarkStart w:id="18" w:name="_Toc441006183"/>
      <w:bookmarkStart w:id="19" w:name="_Toc441005509"/>
      <w:r>
        <w:t xml:space="preserve">1- ASL E CURRICOLO: MODELLO </w:t>
      </w:r>
      <w:proofErr w:type="spellStart"/>
      <w:r>
        <w:t>DI</w:t>
      </w:r>
      <w:proofErr w:type="spellEnd"/>
      <w:r>
        <w:t xml:space="preserve"> RETE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FINALITÀ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alternanza si intende un criterio metodologico fondamentale, secondo il quale tutto il curricolo è definito dall’alternarsi di tre situazioni di apprendimento: aula, laboratorio interno e laboratorio esterno. In tal modo viene sollecitato l’intero repertorio delle capacità intellettive degli allievi: cognitive, pratiche, sociali, effettivo relazionali, riflessive. Essi, con questa impostazione, non solo sanno, ma sanno anche affrontare compiti e problemi significativi con ciò che sanno, così da padroneggiare personalmente i saperi. Inoltre, acquisiscono una maturazione evidenziabile dalla chiarezza circa la propria vocazione e le proprie prerogative, dalla serietà con cui assumono i propri impegni, oltre che dal progetto di vita, di studio e di lavoro futuro</w:t>
      </w:r>
      <w:r w:rsidR="00314895">
        <w:rPr>
          <w:rFonts w:ascii="Arial" w:hAnsi="Arial" w:cs="Arial"/>
          <w:sz w:val="20"/>
          <w:szCs w:val="20"/>
        </w:rPr>
        <w:t xml:space="preserve"> (vedi apprendistato cognitivo)</w:t>
      </w:r>
      <w:r>
        <w:rPr>
          <w:rFonts w:ascii="Arial" w:hAnsi="Arial" w:cs="Arial"/>
          <w:sz w:val="20"/>
          <w:szCs w:val="20"/>
        </w:rPr>
        <w:t xml:space="preserve">.    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è solo organizzazione, ma un’esperienza educativa e formativa. Va affermato il principio della centralità dello studente: l'ASL ha valore educativo, consente di attualizzare e dare valore a tutte le potenzialità degli studenti, oltre che formativo cioè lo studente impara attraverso l'esperienza di lavoro. Per questo occorre organizzare l'esperienza di ASL secondo il cammino di crescita e di preparazione dell'allievo in relazione ai suoi prerequisiti.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quanto metodologia riferita all'intero curricolo, l'ASL coinvolge tutti i docenti dell'Istituto in sede di progettazione, gestione valutazione, differenziando le responsabilità. Sarà quindi necessario ampliare il gruppo dei tutor interni, attraverso un progetto di formazione-azione che contribuisca a costituire un'équipe di tutor di docenti di indirizzo, di ambito scientifico e di ambito umanistico.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Risulta poi decisiva la </w:t>
      </w:r>
      <w:proofErr w:type="spellStart"/>
      <w:r>
        <w:rPr>
          <w:rFonts w:ascii="Arial" w:hAnsi="Arial" w:cs="Arial"/>
          <w:sz w:val="20"/>
          <w:szCs w:val="20"/>
        </w:rPr>
        <w:t>coprogettazione</w:t>
      </w:r>
      <w:proofErr w:type="spellEnd"/>
      <w:r>
        <w:rPr>
          <w:rFonts w:ascii="Arial" w:hAnsi="Arial" w:cs="Arial"/>
          <w:sz w:val="20"/>
          <w:szCs w:val="20"/>
        </w:rPr>
        <w:t xml:space="preserve"> con le aziende esterne, coinvolgendo le OOCC, i CTS di Istituto e di Rete.  Questa deve individuare i seguenti contenuti:</w:t>
      </w:r>
    </w:p>
    <w:p w:rsidR="00AE71F5" w:rsidRDefault="00AE71F5" w:rsidP="00AE71F5">
      <w:pPr>
        <w:pStyle w:val="Paragrafoelenco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profilo professionale per livelli e anni;</w:t>
      </w:r>
    </w:p>
    <w:p w:rsidR="00AE71F5" w:rsidRDefault="00AE71F5" w:rsidP="00AE71F5">
      <w:pPr>
        <w:pStyle w:val="Paragrafoelenco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compiti di realtà;</w:t>
      </w:r>
    </w:p>
    <w:p w:rsidR="00AE71F5" w:rsidRDefault="00AE71F5" w:rsidP="00AE71F5">
      <w:pPr>
        <w:pStyle w:val="Paragrafoelenco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banca dati aziende disponibili;</w:t>
      </w:r>
    </w:p>
    <w:p w:rsidR="00AE71F5" w:rsidRDefault="00AE71F5" w:rsidP="00AE71F5">
      <w:pPr>
        <w:pStyle w:val="Paragrafoelenco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saperi essenziali: devono essere definiti dai Dipartimenti</w:t>
      </w:r>
    </w:p>
    <w:p w:rsidR="00AE71F5" w:rsidRDefault="00AE71F5" w:rsidP="00AE71F5">
      <w:pPr>
        <w:pStyle w:val="Paragrafoelenco"/>
        <w:numPr>
          <w:ilvl w:val="0"/>
          <w:numId w:val="2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competenze mobilitate, sia di indirizzo, sia trasversali, sia umanistiche.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 opportuno elaborare con chiarezza i profili sulla base dei quali orientare costruire i progetti ASL in tutte le fasi; ciò tramite una rubrica ad hoc dei profili degli studenti in ASL (</w:t>
      </w:r>
      <w:r w:rsidR="00314895">
        <w:rPr>
          <w:rFonts w:ascii="Arial" w:hAnsi="Arial" w:cs="Arial"/>
          <w:sz w:val="20"/>
          <w:szCs w:val="20"/>
        </w:rPr>
        <w:t>da elaborare</w:t>
      </w:r>
      <w:r>
        <w:rPr>
          <w:rFonts w:ascii="Arial" w:hAnsi="Arial" w:cs="Arial"/>
          <w:sz w:val="20"/>
          <w:szCs w:val="20"/>
        </w:rPr>
        <w:t>).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Anche l'azienda agraria dei singoli istituti, in quanto impresa economica, potrà essere interessata alle attività di ASL, sia come </w:t>
      </w:r>
      <w:proofErr w:type="spellStart"/>
      <w:r>
        <w:rPr>
          <w:rFonts w:ascii="Arial" w:hAnsi="Arial" w:cs="Arial"/>
          <w:sz w:val="20"/>
          <w:szCs w:val="20"/>
        </w:rPr>
        <w:t>autocommessa</w:t>
      </w:r>
      <w:proofErr w:type="spellEnd"/>
      <w:r>
        <w:rPr>
          <w:rFonts w:ascii="Arial" w:hAnsi="Arial" w:cs="Arial"/>
          <w:sz w:val="20"/>
          <w:szCs w:val="20"/>
        </w:rPr>
        <w:t xml:space="preserve"> sia come azienda esterna. Naturalmente dovrà essere individuato un tutor aziendale.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DURATA ASL (professionale e tecnico)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ore nel percorso triennale rappresentano il numero minimo di durata, con questi suggerimenti:</w:t>
      </w:r>
    </w:p>
    <w:p w:rsidR="00AE71F5" w:rsidRDefault="00AE71F5" w:rsidP="00AE71F5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Terzo anno (150 h): stage di conoscenza del contesto, affiancamento ed assistenza ad adulti esperti.</w:t>
      </w:r>
    </w:p>
    <w:p w:rsidR="00AE71F5" w:rsidRDefault="00AE71F5" w:rsidP="00AE71F5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Quarto anno (150 h): realizzazione di compiti semplici e complessi in autonomia.</w:t>
      </w:r>
    </w:p>
    <w:p w:rsidR="00AE71F5" w:rsidRDefault="00AE71F5" w:rsidP="00AE71F5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Quinto  anno (100 h): realizzazione di un project work o capolavoro anche in vista dell’esame.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Accanto all'attività di ASL vera e propria si ricorda quella di Apprendistato, riservata a un gruppo ristretto o singoli allievi.</w:t>
      </w:r>
    </w:p>
    <w:p w:rsidR="00AE71F5" w:rsidRDefault="0031489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Anche per quest’anno pur non essendo obbligatoria </w:t>
      </w:r>
      <w:r w:rsidR="00AE71F5">
        <w:rPr>
          <w:rFonts w:ascii="Arial" w:hAnsi="Arial" w:cs="Arial"/>
          <w:sz w:val="20"/>
          <w:szCs w:val="20"/>
        </w:rPr>
        <w:t>è stata introdotta l’ASL in quinta</w:t>
      </w:r>
      <w:r>
        <w:rPr>
          <w:rFonts w:ascii="Arial" w:hAnsi="Arial" w:cs="Arial"/>
          <w:sz w:val="20"/>
          <w:szCs w:val="20"/>
        </w:rPr>
        <w:t>.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METODOLOGIA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responsabilità ultima è del Consiglio di classe che definirà i passi e i contenuti del progetto. Usare l'ASL per affrontare il tema del curricolo sia tramite il metodo didattico  “diretto” (conoscenze prima e poi in azienda) sia quello indiretto in cui la pratica in azienda è il riferimento per giungere alla teoria.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Partire, nel contatto con l'azienda con i compiti di realtà espressi con un linguaggio concreto, in riferimento ai saperi essenziali, per poi giungere alla valutazione prima in gradi di padronanza (4: parziale, basilare, intermedio ed elevato) da tradurre poi in valutazioni numeriche in voti pieni, da inserire nei registri delle materie coinvolte oltre che nella condotta.</w:t>
      </w:r>
    </w:p>
    <w:p w:rsidR="00AE71F5" w:rsidRDefault="0031489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quest’anno scolastico è stato deciso un aumento dei tempi da destinare all’ASL in sede di consiglio di classe e ulteriori iniziative di formazione sia generali che dedicate.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sulla sicurezza:</w:t>
      </w:r>
    </w:p>
    <w:p w:rsidR="0031489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="00314895">
        <w:rPr>
          <w:rFonts w:ascii="Arial" w:hAnsi="Arial" w:cs="Arial"/>
          <w:sz w:val="20"/>
          <w:szCs w:val="20"/>
        </w:rPr>
        <w:t>pplicazione estensiva a tutto l’istituto del progetto formazione sicurezza rete agrari del Veneto.</w:t>
      </w:r>
    </w:p>
    <w:p w:rsidR="00314895" w:rsidRDefault="0031489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azienda: formazione specifica ritenuta necessaria per le caratteristiche e i rischi dell'azienda di ASL.  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Documenti necessari:</w:t>
      </w:r>
    </w:p>
    <w:p w:rsidR="00AE71F5" w:rsidRDefault="00AE71F5" w:rsidP="00AE71F5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Convenzione e Patto formativo</w:t>
      </w:r>
    </w:p>
    <w:p w:rsidR="00AE71F5" w:rsidRDefault="00AE71F5" w:rsidP="00AE71F5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Diario di bordo</w:t>
      </w:r>
    </w:p>
    <w:p w:rsidR="00AE71F5" w:rsidRDefault="00AE71F5" w:rsidP="00AE71F5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Relazione finale attività svolta.</w:t>
      </w:r>
    </w:p>
    <w:p w:rsidR="00AE71F5" w:rsidRDefault="00AE71F5" w:rsidP="00AE71F5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valutativo dell’esperienza di ASL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TIPOLOGIE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ATTIVITÀ che si caratterizzano come ASL</w:t>
      </w:r>
    </w:p>
    <w:p w:rsidR="00AE71F5" w:rsidRDefault="00AE71F5" w:rsidP="00AE71F5">
      <w:pPr>
        <w:pStyle w:val="Paragrafoelenco"/>
        <w:numPr>
          <w:ilvl w:val="0"/>
          <w:numId w:val="8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Moduli preparatori (sono compiti dell'ASL?)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Visite aziendali,  assieme alle testimonianze, più per classi terze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Stage orientativo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Stage esecutivo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Stage all'estero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work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Commessa esterna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Autocommessa</w:t>
      </w:r>
      <w:proofErr w:type="spellEnd"/>
      <w:r>
        <w:rPr>
          <w:rFonts w:ascii="Arial" w:hAnsi="Arial" w:cs="Arial"/>
          <w:sz w:val="20"/>
          <w:szCs w:val="20"/>
        </w:rPr>
        <w:t xml:space="preserve"> nell’ambito dei laboratori dell’istituto e dell'azienda didattica annessa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Fiere e manifestazioni</w:t>
      </w:r>
      <w:r w:rsidR="00314895">
        <w:rPr>
          <w:rFonts w:ascii="Arial" w:hAnsi="Arial" w:cs="Arial"/>
          <w:sz w:val="20"/>
          <w:szCs w:val="20"/>
        </w:rPr>
        <w:t xml:space="preserve"> – Olimpiadi forestali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Lavoro estivo progettato, accompagnato e valutato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Attività di restituzione dei risultati del PW con confronto e riprogettazione della successiva attività</w:t>
      </w:r>
    </w:p>
    <w:p w:rsidR="00AE71F5" w:rsidRDefault="00AE71F5" w:rsidP="00AE71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Modulo conclusivo per la predisposizione del project work / capolavoro per l’esame orale.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ATTIVITA'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ASL ENTRO O FUORI IL CURRICOLO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attività di ASL si caratterizzano per essere strettamente curricolari. Alcuni progetti speciali (</w:t>
      </w:r>
      <w:proofErr w:type="spellStart"/>
      <w:r>
        <w:rPr>
          <w:rFonts w:ascii="Arial" w:hAnsi="Arial" w:cs="Arial"/>
          <w:sz w:val="20"/>
          <w:szCs w:val="20"/>
        </w:rPr>
        <w:t>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Erasmus</w:t>
      </w:r>
      <w:proofErr w:type="spellEnd"/>
      <w:r>
        <w:rPr>
          <w:rFonts w:ascii="Arial" w:hAnsi="Arial" w:cs="Arial"/>
          <w:sz w:val="20"/>
          <w:szCs w:val="20"/>
        </w:rPr>
        <w:t>) hanno carattere opzionale e sono extracurricolari.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</w:p>
    <w:p w:rsidR="00AE71F5" w:rsidRPr="00314895" w:rsidRDefault="00314895" w:rsidP="0031489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14895">
        <w:rPr>
          <w:rFonts w:ascii="Arial" w:hAnsi="Arial" w:cs="Arial"/>
          <w:sz w:val="20"/>
          <w:szCs w:val="20"/>
        </w:rPr>
        <w:t xml:space="preserve">Ogni tutor interno </w:t>
      </w:r>
      <w:r w:rsidR="001A47AF">
        <w:rPr>
          <w:rFonts w:ascii="Arial" w:hAnsi="Arial" w:cs="Arial"/>
          <w:sz w:val="20"/>
          <w:szCs w:val="20"/>
        </w:rPr>
        <w:t>di classe svolgerà un’ora in meno di orario frontale per la preparazione, gestione e valutazione dell’esperienza ASL. Per le classi numerose saranno assegnate ulteriori risorse.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VALUTAZIONE ASL E VALUTAZIONE SCOLASTICA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Viene espressa una valutazione sintetica dell’ASL che mette in sistema tutti coloro che esprimono una valutazione sull’esperienza.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Inoltre l’esperienza di ASL influenzerà: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valutazioni disciplinari;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credito scolastico e formativo;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voto di condotta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ANAGRAFE AZIENDE PER L’ASL – VALUTAZIONE DEL DS sulle aziende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Sarà predisposto uno specifico questionario in accordo con quanto realizzato dalla rete degli istituti agrari.</w:t>
      </w:r>
    </w:p>
    <w:p w:rsidR="00AE71F5" w:rsidRDefault="00AE71F5" w:rsidP="00AE71F5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(documento elaborato dalla rete degli istituti agrari del Triveneto adottato da IIS Della Lucia)</w:t>
      </w:r>
    </w:p>
    <w:p w:rsidR="00AE71F5" w:rsidRDefault="00AE71F5" w:rsidP="00AE71F5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71F5" w:rsidRDefault="00AE71F5" w:rsidP="00AE71F5">
      <w:pPr>
        <w:pStyle w:val="Titolo2"/>
      </w:pPr>
      <w:bookmarkStart w:id="20" w:name="_Toc443470515"/>
      <w:bookmarkStart w:id="21" w:name="_Toc443469843"/>
      <w:bookmarkStart w:id="22" w:name="_Toc443469699"/>
      <w:bookmarkStart w:id="23" w:name="_Toc443469568"/>
      <w:bookmarkStart w:id="24" w:name="_Toc443469356"/>
      <w:bookmarkStart w:id="25" w:name="_Toc443467454"/>
      <w:bookmarkStart w:id="26" w:name="_Toc443467360"/>
      <w:bookmarkStart w:id="27" w:name="_Toc441006459"/>
      <w:bookmarkStart w:id="28" w:name="_Toc441006184"/>
      <w:bookmarkStart w:id="29" w:name="_Toc441005510"/>
      <w:r>
        <w:t xml:space="preserve">2- ASL E ESAME </w:t>
      </w:r>
      <w:proofErr w:type="spellStart"/>
      <w:r>
        <w:t>DI</w:t>
      </w:r>
      <w:proofErr w:type="spellEnd"/>
      <w:r>
        <w:t xml:space="preserve"> STATO: MODELLO TERZA PROVA E COLLOQUIO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t xml:space="preserve"> 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Circa la terza prova, </w:t>
      </w:r>
      <w:r w:rsidR="001A47AF">
        <w:rPr>
          <w:rFonts w:ascii="Arial" w:hAnsi="Arial" w:cs="Arial"/>
          <w:sz w:val="20"/>
          <w:szCs w:val="20"/>
        </w:rPr>
        <w:t xml:space="preserve">per l’utilizzo dell’esperienza ASL sarebbe da preferire </w:t>
      </w:r>
      <w:r>
        <w:rPr>
          <w:rFonts w:ascii="Arial" w:hAnsi="Arial" w:cs="Arial"/>
          <w:sz w:val="20"/>
          <w:szCs w:val="20"/>
        </w:rPr>
        <w:t>le seguenti tipologie</w:t>
      </w:r>
      <w:r w:rsidR="001A47AF">
        <w:rPr>
          <w:rFonts w:ascii="Arial" w:hAnsi="Arial" w:cs="Arial"/>
          <w:sz w:val="20"/>
          <w:szCs w:val="20"/>
        </w:rPr>
        <w:t xml:space="preserve"> di terza prova</w:t>
      </w:r>
      <w:r>
        <w:rPr>
          <w:rFonts w:ascii="Arial" w:hAnsi="Arial" w:cs="Arial"/>
          <w:sz w:val="20"/>
          <w:szCs w:val="20"/>
        </w:rPr>
        <w:t>: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casi professionali o pratici;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sviluppo di progetti coinvolgendo diverse discipline.”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caso professionale va costruito su un compito concreto a cui dare soluzione o scegliere fra diverse soluzioni.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bisogna riprodurre lo stesso caso nell'anno successivo.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esserci almeno una criticità, non deve svolgersi secondo una procedura standard, lo studente dovrà tuttavia dare motivazione alle scelte. Non sarà solo orientato alla risposta giusta, ma anche a ricostruire il processo logico che sottende la risposta.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costruzione di un caso di studio è onerosa, la Rete costituisce occasione unica per produrre più esempi da utilizzare in più anni.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Più che alle discipline, il caso professionale farà riferimento al profilo professionale in modo da avere più possibilità nella costruzione del testo.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terza prova va progettata sulla base del modello della prova esperta. Gli allievi dovranno essere preparati a questa tipologia da somministrare a fine biennio a fine ASL.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tipologia di prova esperta è basata su un compito di realtà </w:t>
      </w:r>
      <w:proofErr w:type="spellStart"/>
      <w:r>
        <w:rPr>
          <w:rFonts w:ascii="Arial" w:hAnsi="Arial" w:cs="Arial"/>
          <w:sz w:val="20"/>
          <w:szCs w:val="20"/>
        </w:rPr>
        <w:t>pluricompetenze</w:t>
      </w:r>
      <w:proofErr w:type="spellEnd"/>
      <w:r>
        <w:rPr>
          <w:rFonts w:ascii="Arial" w:hAnsi="Arial" w:cs="Arial"/>
          <w:sz w:val="20"/>
          <w:szCs w:val="20"/>
        </w:rPr>
        <w:t xml:space="preserve"> e comprende vari </w:t>
      </w:r>
      <w:proofErr w:type="spellStart"/>
      <w:r>
        <w:rPr>
          <w:rFonts w:ascii="Arial" w:hAnsi="Arial" w:cs="Arial"/>
          <w:sz w:val="20"/>
          <w:szCs w:val="20"/>
        </w:rPr>
        <w:t>step</w:t>
      </w:r>
      <w:proofErr w:type="spellEnd"/>
      <w:r>
        <w:rPr>
          <w:rFonts w:ascii="Arial" w:hAnsi="Arial" w:cs="Arial"/>
          <w:sz w:val="20"/>
          <w:szCs w:val="20"/>
        </w:rPr>
        <w:t xml:space="preserve"> costruiti secondo precise modalità. La valutazione rappresenta però la fase più delicata e che coinvolgerà tutta la commissione.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Mentre la disciplina fa riferimento a casi astratti, i compiti di realtà sono legati al contesto concreto e reale. La progettazione e valutazione della prova esperta è lavoro unitario, congiunto di un gruppo o commissione. Essa stimola lo studente all’azione compiuta, sulla base della sequenza:  </w:t>
      </w:r>
    </w:p>
    <w:p w:rsidR="00AE71F5" w:rsidRDefault="00AE71F5" w:rsidP="00AE71F5">
      <w:pPr>
        <w:pStyle w:val="Paragrafoelenco"/>
        <w:numPr>
          <w:ilvl w:val="0"/>
          <w:numId w:val="11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comprendere</w:t>
      </w:r>
    </w:p>
    <w:p w:rsidR="00AE71F5" w:rsidRDefault="00AE71F5" w:rsidP="00AE71F5">
      <w:pPr>
        <w:pStyle w:val="Paragrafoelenco"/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eseguire una diagnosi e proporre la prognosi</w:t>
      </w:r>
    </w:p>
    <w:p w:rsidR="00AE71F5" w:rsidRDefault="00AE71F5" w:rsidP="00AE71F5">
      <w:pPr>
        <w:pStyle w:val="Paragrafoelenco"/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gestire correttamente le diverse fasi</w:t>
      </w:r>
    </w:p>
    <w:p w:rsidR="00AE71F5" w:rsidRDefault="00AE71F5" w:rsidP="00AE71F5">
      <w:pPr>
        <w:pStyle w:val="Paragrafoelenco"/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valutare la correttezza del procedimento</w:t>
      </w:r>
    </w:p>
    <w:p w:rsidR="00AE71F5" w:rsidRDefault="00AE71F5" w:rsidP="00AE71F5">
      <w:pPr>
        <w:pStyle w:val="Paragrafoelenco"/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riflettere sui saperi e sulle competenze acquisite, argomentare quanto svolto e documentare l’intero lavoro tramite dossier e relazione.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Pr="001A47AF" w:rsidRDefault="001A47AF" w:rsidP="00AE71F5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A47AF">
        <w:rPr>
          <w:rFonts w:ascii="Arial" w:hAnsi="Arial" w:cs="Arial"/>
          <w:b/>
          <w:sz w:val="20"/>
          <w:szCs w:val="20"/>
          <w:u w:val="single"/>
        </w:rPr>
        <w:t xml:space="preserve">Per quest’anno scolastico ci si concentrerà sui rapporti fra </w:t>
      </w:r>
      <w:r w:rsidR="00AE71F5" w:rsidRPr="001A47AF">
        <w:rPr>
          <w:rFonts w:ascii="Arial" w:hAnsi="Arial" w:cs="Arial"/>
          <w:b/>
          <w:sz w:val="20"/>
          <w:szCs w:val="20"/>
          <w:u w:val="single"/>
        </w:rPr>
        <w:t>Project work, ASL e colloquio</w:t>
      </w:r>
      <w:r w:rsidRPr="001A47AF">
        <w:rPr>
          <w:rFonts w:ascii="Arial" w:hAnsi="Arial" w:cs="Arial"/>
          <w:b/>
          <w:sz w:val="20"/>
          <w:szCs w:val="20"/>
          <w:u w:val="single"/>
        </w:rPr>
        <w:t xml:space="preserve"> in sede di esame di Stato</w:t>
      </w:r>
      <w:r w:rsidR="00AE71F5" w:rsidRPr="001A47AF">
        <w:rPr>
          <w:rFonts w:ascii="Arial" w:hAnsi="Arial" w:cs="Arial"/>
          <w:b/>
          <w:sz w:val="20"/>
          <w:szCs w:val="20"/>
          <w:u w:val="single"/>
        </w:rPr>
        <w:t>.</w:t>
      </w:r>
    </w:p>
    <w:p w:rsidR="00AE71F5" w:rsidRPr="001A47AF" w:rsidRDefault="00AE71F5" w:rsidP="00AE71F5">
      <w:pPr>
        <w:pStyle w:val="Standard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Titolo2"/>
      </w:pPr>
      <w:bookmarkStart w:id="30" w:name="_Toc443470516"/>
      <w:bookmarkStart w:id="31" w:name="_Toc443469844"/>
      <w:bookmarkStart w:id="32" w:name="_Toc443469700"/>
      <w:bookmarkStart w:id="33" w:name="_Toc443469569"/>
      <w:bookmarkStart w:id="34" w:name="_Toc443469357"/>
      <w:bookmarkStart w:id="35" w:name="_Toc443467455"/>
      <w:bookmarkStart w:id="36" w:name="_Toc443467361"/>
      <w:bookmarkStart w:id="37" w:name="_Toc441006460"/>
      <w:bookmarkStart w:id="38" w:name="_Toc441006185"/>
      <w:bookmarkStart w:id="39" w:name="_Toc441005511"/>
      <w:r>
        <w:t xml:space="preserve">3- ASL, RAPPORTO </w:t>
      </w:r>
      <w:proofErr w:type="spellStart"/>
      <w:r>
        <w:t>DI</w:t>
      </w:r>
      <w:proofErr w:type="spellEnd"/>
      <w:r>
        <w:t xml:space="preserve"> AUTOVALUTAZIONE E PIANO </w:t>
      </w:r>
      <w:proofErr w:type="spellStart"/>
      <w:r>
        <w:t>DI</w:t>
      </w:r>
      <w:proofErr w:type="spellEnd"/>
      <w:r>
        <w:t xml:space="preserve"> MIGLIORAMENTO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1A47AF">
        <w:t xml:space="preserve"> – </w:t>
      </w:r>
      <w:proofErr w:type="spellStart"/>
      <w:r w:rsidR="001A47AF">
        <w:t>Coprogettazione</w:t>
      </w:r>
      <w:proofErr w:type="spellEnd"/>
      <w:r w:rsidR="001A47AF">
        <w:t xml:space="preserve"> dell’ASL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E’ importante attribuire rilevanza alla parte 3.7.1 del RAV Integrazione con il territorio in cui si esprime l’autovalutazione della scuola su come viene svolta l’attività di ASL, operazione che coinvolge direttamente i tutor, e può essere svolta anche elaborando alcuni indicatori di riferimento. Da qui potrebbero sorger sorgono le indicazioni per il piano di miglioramento.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Inserire nel piano di miglioramento la costituzione del CTS di Istituto, la formazione dei tutor ASL dei consigli di classe e dei tutor dell'azienda agraria connessa all'Istituto, le prove esperte ed in genere la progettazione, gestione e valutazione dei compiti di realtà.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quesito chiave per l’autovalutazione può essere il seguente: il progetto di ASL è riuscito a introdurre nella pratica dei consigli di classe il metodo del compito di realtà?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progettazione ASL dovrà anche contenere riferimenti alle Competenze chiave e di cittadinanza.</w:t>
      </w:r>
    </w:p>
    <w:p w:rsidR="001A47AF" w:rsidRDefault="001A47AF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47AF" w:rsidRDefault="001A47AF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 sperimentale per quest’anno scolastico sarà realizzato una sperimentazione del modello di valutazione delle aziende e di monitoraggio del processo ASL.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Titolo2"/>
      </w:pPr>
      <w:bookmarkStart w:id="40" w:name="_Toc443470517"/>
      <w:bookmarkStart w:id="41" w:name="_Toc443469845"/>
      <w:bookmarkStart w:id="42" w:name="_Toc443469701"/>
      <w:bookmarkStart w:id="43" w:name="_Toc443469570"/>
      <w:bookmarkStart w:id="44" w:name="_Toc443469358"/>
      <w:bookmarkStart w:id="45" w:name="_Toc443467456"/>
      <w:bookmarkStart w:id="46" w:name="_Toc443467362"/>
      <w:bookmarkStart w:id="47" w:name="_Toc441006461"/>
      <w:bookmarkStart w:id="48" w:name="_Toc441006186"/>
      <w:bookmarkStart w:id="49" w:name="_Toc441005512"/>
      <w:r>
        <w:t>4- ASL E CERTIFICAZIONE DELLE COMPETENZE E SUPPLEMENTO AL CERTIFICATO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1A47AF">
        <w:t xml:space="preserve"> (in sperimentazione)</w:t>
      </w:r>
    </w:p>
    <w:p w:rsidR="00AE71F5" w:rsidRDefault="00AE71F5" w:rsidP="00AE71F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supplemento al certificato è unico per tutto il territorio nazionale per ciascun percorso formativo e consentirà di descrivere meglio soprattutto nel caso di trasferimento all’estero in ambito europeo le caratteristiche del percorso formativo seguito.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supplemento al certificato è uguale per tutti gli studenti sul territorio nazionale.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certificazione delle competenze individuali invece deve seguire un’altra procedura.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L'atto della certificazione non sta tanto nella sua emanazione, quanto nella sua valorizzazione al momento di presentazione in azienda.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valore della certificazione si evidenzia nel momento in cui scuola e azienda di mettono a confronto, titolari di un approccio culturale diversi, capaci di trovare un punto di incontro nel legame che sussiste tra i compiti di realtà ed i saperi essenziali. L'azienda, infatti, si chiede che cosa ha fatto l'allievo, cioè pone attenzione al “compito di realtà”. Occorre sollecitare  i dipartimenti ad elaborare per ogni area formativa le “evidenze”, cioè le azioni che l'allievo è in grado di gestire così da poter progettare l’ASL insieme all'azienda.</w:t>
      </w: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F5" w:rsidRDefault="00AE71F5" w:rsidP="00AE71F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Vista la novità dell'approccio, si punta su un certificato aziendale in cui siano definiti i compiti di realtà, che cosa effettivamente l'allievo ha fatto e come lo ha fatto. È opportuno elaborare un progetto continuativo sulla stressa azienda o in ambiti similari in modo da verificare i progressi nelle competenze utilizzando una rubrica per ogni tipo di profilo indicato.</w:t>
      </w:r>
    </w:p>
    <w:sectPr w:rsidR="00AE71F5" w:rsidSect="00242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478"/>
    <w:multiLevelType w:val="multilevel"/>
    <w:tmpl w:val="B1104008"/>
    <w:styleLink w:val="WWNum9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2C696701"/>
    <w:multiLevelType w:val="multilevel"/>
    <w:tmpl w:val="9A44AE9C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3E9E7554"/>
    <w:multiLevelType w:val="multilevel"/>
    <w:tmpl w:val="BF8CD6E4"/>
    <w:styleLink w:val="WWNum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5E8445F0"/>
    <w:multiLevelType w:val="multilevel"/>
    <w:tmpl w:val="819252B2"/>
    <w:styleLink w:val="WWNum10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66F51F2F"/>
    <w:multiLevelType w:val="multilevel"/>
    <w:tmpl w:val="F8903DC0"/>
    <w:styleLink w:val="WWNum11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AE71F5"/>
    <w:rsid w:val="001A47AF"/>
    <w:rsid w:val="00242DAC"/>
    <w:rsid w:val="00314895"/>
    <w:rsid w:val="004D1C65"/>
    <w:rsid w:val="007048AB"/>
    <w:rsid w:val="00962D2A"/>
    <w:rsid w:val="00AE71F5"/>
    <w:rsid w:val="00BC5523"/>
    <w:rsid w:val="00F8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1"/>
    <w:qFormat/>
    <w:rsid w:val="00AE71F5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caps/>
      <w:color w:val="0000FF"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1"/>
    <w:semiHidden/>
    <w:unhideWhenUsed/>
    <w:qFormat/>
    <w:rsid w:val="00AE71F5"/>
    <w:pPr>
      <w:keepNext/>
      <w:autoSpaceDE w:val="0"/>
      <w:autoSpaceDN w:val="0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E71F5"/>
    <w:rPr>
      <w:rFonts w:ascii="Arial" w:eastAsia="Times New Roman" w:hAnsi="Arial" w:cs="Arial"/>
      <w:b/>
      <w:bCs/>
      <w:caps/>
      <w:color w:val="0000F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AE71F5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AE71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E71F5"/>
    <w:pPr>
      <w:suppressAutoHyphens/>
      <w:autoSpaceDN w:val="0"/>
    </w:pPr>
    <w:rPr>
      <w:rFonts w:ascii="Times New Roman" w:eastAsia="SimSun" w:hAnsi="Times New Roman" w:cs="Calibri"/>
      <w:kern w:val="3"/>
      <w:sz w:val="24"/>
      <w:szCs w:val="24"/>
    </w:rPr>
  </w:style>
  <w:style w:type="numbering" w:customStyle="1" w:styleId="WWNum9">
    <w:name w:val="WWNum9"/>
    <w:rsid w:val="00AE71F5"/>
    <w:pPr>
      <w:numPr>
        <w:numId w:val="1"/>
      </w:numPr>
    </w:pPr>
  </w:style>
  <w:style w:type="numbering" w:customStyle="1" w:styleId="WWNum10">
    <w:name w:val="WWNum10"/>
    <w:rsid w:val="00AE71F5"/>
    <w:pPr>
      <w:numPr>
        <w:numId w:val="3"/>
      </w:numPr>
    </w:pPr>
  </w:style>
  <w:style w:type="numbering" w:customStyle="1" w:styleId="WWNum11">
    <w:name w:val="WWNum11"/>
    <w:rsid w:val="00AE71F5"/>
    <w:pPr>
      <w:numPr>
        <w:numId w:val="5"/>
      </w:numPr>
    </w:pPr>
  </w:style>
  <w:style w:type="numbering" w:customStyle="1" w:styleId="WWNum12">
    <w:name w:val="WWNum12"/>
    <w:rsid w:val="00AE71F5"/>
    <w:pPr>
      <w:numPr>
        <w:numId w:val="7"/>
      </w:numPr>
    </w:pPr>
  </w:style>
  <w:style w:type="numbering" w:customStyle="1" w:styleId="WWNum15">
    <w:name w:val="WWNum15"/>
    <w:rsid w:val="00AE71F5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mamma</cp:lastModifiedBy>
  <cp:revision>4</cp:revision>
  <dcterms:created xsi:type="dcterms:W3CDTF">2017-03-06T09:09:00Z</dcterms:created>
  <dcterms:modified xsi:type="dcterms:W3CDTF">2017-03-06T09:27:00Z</dcterms:modified>
</cp:coreProperties>
</file>